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E401"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b/>
          <w:sz w:val="24"/>
          <w:szCs w:val="24"/>
        </w:rPr>
        <w:t>Module 2.2</w:t>
      </w:r>
    </w:p>
    <w:p w14:paraId="4D15E270"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United States v. Virginia</w:t>
      </w:r>
    </w:p>
    <w:p w14:paraId="5B9CC7FD"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518 U.S. 515 (1996)</w:t>
      </w:r>
    </w:p>
    <w:p w14:paraId="28B124EE" w14:textId="77777777" w:rsidR="00EF1E8B" w:rsidRPr="00ED74F7" w:rsidRDefault="00EF1E8B" w:rsidP="00EF1E8B">
      <w:pPr>
        <w:jc w:val="center"/>
        <w:rPr>
          <w:rFonts w:ascii="Times New Roman" w:hAnsi="Times New Roman"/>
          <w:sz w:val="24"/>
          <w:szCs w:val="24"/>
        </w:rPr>
      </w:pPr>
    </w:p>
    <w:p w14:paraId="2EE28725"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The United States of America sued the Commonwealth of Virginia.</w:t>
      </w:r>
      <w:r>
        <w:rPr>
          <w:rFonts w:ascii="Times New Roman" w:hAnsi="Times New Roman"/>
          <w:sz w:val="24"/>
          <w:szCs w:val="24"/>
        </w:rPr>
        <w:t xml:space="preserve"> </w:t>
      </w:r>
      <w:r w:rsidRPr="00ED74F7">
        <w:rPr>
          <w:rFonts w:ascii="Times New Roman" w:hAnsi="Times New Roman"/>
          <w:sz w:val="24"/>
          <w:szCs w:val="24"/>
        </w:rPr>
        <w:t>The Western District of Virginia ruled in favor of Virginia.</w:t>
      </w:r>
      <w:r>
        <w:rPr>
          <w:rFonts w:ascii="Times New Roman" w:hAnsi="Times New Roman"/>
          <w:sz w:val="24"/>
          <w:szCs w:val="24"/>
        </w:rPr>
        <w:t xml:space="preserve"> </w:t>
      </w:r>
      <w:r w:rsidRPr="00ED74F7">
        <w:rPr>
          <w:rFonts w:ascii="Times New Roman" w:hAnsi="Times New Roman"/>
          <w:sz w:val="24"/>
          <w:szCs w:val="24"/>
        </w:rPr>
        <w:t>The Fourth Circuit Court of Appeals vacated and remanded.</w:t>
      </w:r>
      <w:r>
        <w:rPr>
          <w:rFonts w:ascii="Times New Roman" w:hAnsi="Times New Roman"/>
          <w:sz w:val="24"/>
          <w:szCs w:val="24"/>
        </w:rPr>
        <w:t xml:space="preserve"> </w:t>
      </w:r>
      <w:r w:rsidRPr="00ED74F7">
        <w:rPr>
          <w:rFonts w:ascii="Times New Roman" w:hAnsi="Times New Roman"/>
          <w:sz w:val="24"/>
          <w:szCs w:val="24"/>
        </w:rPr>
        <w:t>On remand, the Western District approved a remedial plan and the Fourth Circuit affirmed.</w:t>
      </w:r>
      <w:r>
        <w:rPr>
          <w:rFonts w:ascii="Times New Roman" w:hAnsi="Times New Roman"/>
          <w:sz w:val="24"/>
          <w:szCs w:val="24"/>
        </w:rPr>
        <w:t xml:space="preserve"> </w:t>
      </w:r>
      <w:r w:rsidRPr="00ED74F7">
        <w:rPr>
          <w:rFonts w:ascii="Times New Roman" w:hAnsi="Times New Roman"/>
          <w:sz w:val="24"/>
          <w:szCs w:val="24"/>
        </w:rPr>
        <w:t>The Supreme Court affirmed in part, reversed in part and remanded.</w:t>
      </w:r>
      <w:r>
        <w:rPr>
          <w:rFonts w:ascii="Times New Roman" w:hAnsi="Times New Roman"/>
          <w:sz w:val="24"/>
          <w:szCs w:val="24"/>
        </w:rPr>
        <w:t xml:space="preserve"> </w:t>
      </w:r>
    </w:p>
    <w:p w14:paraId="43675143"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The Virginia Military Institute (VMI), a state college, refused to allow women to attend the school.</w:t>
      </w:r>
      <w:r>
        <w:rPr>
          <w:rFonts w:ascii="Times New Roman" w:hAnsi="Times New Roman"/>
          <w:sz w:val="24"/>
          <w:szCs w:val="24"/>
        </w:rPr>
        <w:t xml:space="preserve"> </w:t>
      </w:r>
      <w:r w:rsidRPr="00ED74F7">
        <w:rPr>
          <w:rFonts w:ascii="Times New Roman" w:hAnsi="Times New Roman"/>
          <w:sz w:val="24"/>
          <w:szCs w:val="24"/>
        </w:rPr>
        <w:t>The United States of America sued the Commonwealth of Virginia alleging constitutional violations.</w:t>
      </w:r>
      <w:r>
        <w:rPr>
          <w:rFonts w:ascii="Times New Roman" w:hAnsi="Times New Roman"/>
          <w:b/>
          <w:sz w:val="24"/>
          <w:szCs w:val="24"/>
        </w:rPr>
        <w:t xml:space="preserve"> </w:t>
      </w:r>
    </w:p>
    <w:p w14:paraId="6DA5415E"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Does VMI’s failure to admit women constitute a violation of the Equal Protection Clause of the United States constitution?</w:t>
      </w:r>
    </w:p>
    <w:p w14:paraId="77C99EAB"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 xml:space="preserve">Holding: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The exclusion of women at VMI is an Equal Protection Clause violation.</w:t>
      </w:r>
      <w:r>
        <w:rPr>
          <w:rFonts w:ascii="Times New Roman" w:hAnsi="Times New Roman"/>
          <w:sz w:val="24"/>
          <w:szCs w:val="24"/>
        </w:rPr>
        <w:t xml:space="preserve"> </w:t>
      </w:r>
    </w:p>
    <w:p w14:paraId="0CD8F924"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Heightened or intermediate scrutiny applies to cases of gender discrimination under the Equal Protection Clause.</w:t>
      </w:r>
      <w:r>
        <w:rPr>
          <w:rFonts w:ascii="Times New Roman" w:hAnsi="Times New Roman"/>
          <w:sz w:val="24"/>
          <w:szCs w:val="24"/>
        </w:rPr>
        <w:t xml:space="preserve"> </w:t>
      </w:r>
      <w:r w:rsidRPr="00ED74F7">
        <w:rPr>
          <w:rFonts w:ascii="Times New Roman" w:hAnsi="Times New Roman"/>
          <w:sz w:val="24"/>
          <w:szCs w:val="24"/>
        </w:rPr>
        <w:t>The test requires that the gender classification serves “important government objectives” and the discrimination is “substantially related to the achievement of those objectives.”</w:t>
      </w:r>
      <w:r>
        <w:rPr>
          <w:rFonts w:ascii="Times New Roman" w:hAnsi="Times New Roman"/>
          <w:sz w:val="24"/>
          <w:szCs w:val="24"/>
        </w:rPr>
        <w:t xml:space="preserve"> </w:t>
      </w:r>
      <w:r w:rsidRPr="00ED74F7">
        <w:rPr>
          <w:rFonts w:ascii="Times New Roman" w:hAnsi="Times New Roman"/>
          <w:sz w:val="24"/>
          <w:szCs w:val="24"/>
        </w:rPr>
        <w:t>The exclusion of women at VMI fails to satisfy the requirements of the test.</w:t>
      </w:r>
      <w:r>
        <w:rPr>
          <w:rFonts w:ascii="Times New Roman" w:hAnsi="Times New Roman"/>
          <w:sz w:val="24"/>
          <w:szCs w:val="24"/>
        </w:rPr>
        <w:t xml:space="preserve"> </w:t>
      </w:r>
    </w:p>
    <w:p w14:paraId="7ADA86A8" w14:textId="77777777" w:rsidR="00EF1E8B" w:rsidRPr="00ED74F7" w:rsidRDefault="00EF1E8B" w:rsidP="00EF1E8B">
      <w:pPr>
        <w:rPr>
          <w:rFonts w:ascii="Times New Roman" w:hAnsi="Times New Roman"/>
          <w:b/>
          <w:sz w:val="24"/>
          <w:szCs w:val="24"/>
        </w:rPr>
      </w:pPr>
      <w:r w:rsidRPr="00ED74F7">
        <w:rPr>
          <w:rFonts w:ascii="Times New Roman" w:hAnsi="Times New Roman"/>
          <w:b/>
          <w:sz w:val="24"/>
          <w:szCs w:val="24"/>
        </w:rPr>
        <w:t xml:space="preserve">Dissent (Justice Scalia): </w:t>
      </w:r>
      <w:r w:rsidRPr="00ED74F7">
        <w:rPr>
          <w:rFonts w:ascii="Times New Roman" w:hAnsi="Times New Roman"/>
          <w:sz w:val="24"/>
          <w:szCs w:val="24"/>
        </w:rPr>
        <w:t>There is a longstanding tradition of government funded military schools for men in the United States.</w:t>
      </w:r>
      <w:r>
        <w:rPr>
          <w:rFonts w:ascii="Times New Roman" w:hAnsi="Times New Roman"/>
          <w:b/>
          <w:sz w:val="24"/>
          <w:szCs w:val="24"/>
        </w:rPr>
        <w:t xml:space="preserve"> </w:t>
      </w:r>
      <w:r w:rsidRPr="00ED74F7">
        <w:rPr>
          <w:rFonts w:ascii="Times New Roman" w:hAnsi="Times New Roman"/>
          <w:sz w:val="24"/>
          <w:szCs w:val="24"/>
        </w:rPr>
        <w:t>The decision to allow women to attend these schools should be made through a democratic process, not through the constitution and the courts</w:t>
      </w:r>
      <w:r w:rsidRPr="00ED74F7">
        <w:rPr>
          <w:rFonts w:ascii="Times New Roman" w:hAnsi="Times New Roman"/>
          <w:b/>
          <w:sz w:val="24"/>
          <w:szCs w:val="24"/>
        </w:rPr>
        <w:t>.</w:t>
      </w:r>
    </w:p>
    <w:p w14:paraId="2C6CDE28"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b/>
          <w:sz w:val="24"/>
          <w:szCs w:val="24"/>
        </w:rPr>
        <w:br w:type="page"/>
      </w:r>
      <w:r w:rsidRPr="00ED74F7">
        <w:rPr>
          <w:rFonts w:ascii="Times New Roman" w:hAnsi="Times New Roman"/>
          <w:b/>
          <w:sz w:val="24"/>
          <w:szCs w:val="24"/>
        </w:rPr>
        <w:lastRenderedPageBreak/>
        <w:t>Module 2.2</w:t>
      </w:r>
    </w:p>
    <w:p w14:paraId="67937993"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Texas v. Johnson</w:t>
      </w:r>
    </w:p>
    <w:p w14:paraId="1FABDC76"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491 U.S. 397 (1989)</w:t>
      </w:r>
    </w:p>
    <w:p w14:paraId="1F356F77" w14:textId="77777777" w:rsidR="00EF1E8B" w:rsidRPr="00ED74F7" w:rsidRDefault="00EF1E8B" w:rsidP="00EF1E8B">
      <w:pPr>
        <w:jc w:val="center"/>
        <w:rPr>
          <w:rFonts w:ascii="Times New Roman" w:hAnsi="Times New Roman"/>
          <w:sz w:val="24"/>
          <w:szCs w:val="24"/>
        </w:rPr>
      </w:pPr>
    </w:p>
    <w:p w14:paraId="6001DE7A"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Johnson was convicted of desecration of a venerated object in the County Criminal Court No. 8, Dallas County.</w:t>
      </w:r>
      <w:r>
        <w:rPr>
          <w:rFonts w:ascii="Times New Roman" w:hAnsi="Times New Roman"/>
          <w:sz w:val="24"/>
          <w:szCs w:val="24"/>
        </w:rPr>
        <w:t xml:space="preserve"> </w:t>
      </w:r>
      <w:r w:rsidRPr="00ED74F7">
        <w:rPr>
          <w:rFonts w:ascii="Times New Roman" w:hAnsi="Times New Roman"/>
          <w:sz w:val="24"/>
          <w:szCs w:val="24"/>
        </w:rPr>
        <w:t>The Dallas Court of Appeals affirmed.</w:t>
      </w:r>
      <w:r>
        <w:rPr>
          <w:rFonts w:ascii="Times New Roman" w:hAnsi="Times New Roman"/>
          <w:sz w:val="24"/>
          <w:szCs w:val="24"/>
        </w:rPr>
        <w:t xml:space="preserve"> </w:t>
      </w:r>
      <w:r w:rsidRPr="00ED74F7">
        <w:rPr>
          <w:rFonts w:ascii="Times New Roman" w:hAnsi="Times New Roman"/>
          <w:sz w:val="24"/>
          <w:szCs w:val="24"/>
        </w:rPr>
        <w:t>The Texas Court of Criminal Appeals reversed and remanded.</w:t>
      </w:r>
      <w:r>
        <w:rPr>
          <w:rFonts w:ascii="Times New Roman" w:hAnsi="Times New Roman"/>
          <w:sz w:val="24"/>
          <w:szCs w:val="24"/>
        </w:rPr>
        <w:t xml:space="preserve"> </w:t>
      </w:r>
      <w:r w:rsidRPr="00ED74F7">
        <w:rPr>
          <w:rFonts w:ascii="Times New Roman" w:hAnsi="Times New Roman"/>
          <w:sz w:val="24"/>
          <w:szCs w:val="24"/>
        </w:rPr>
        <w:t>The United States Supreme Court affirmed.</w:t>
      </w:r>
    </w:p>
    <w:p w14:paraId="42C0DBA4"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 xml:space="preserve">Facts: </w:t>
      </w:r>
      <w:r w:rsidRPr="00ED74F7">
        <w:rPr>
          <w:rFonts w:ascii="Times New Roman" w:hAnsi="Times New Roman"/>
          <w:sz w:val="24"/>
          <w:szCs w:val="24"/>
        </w:rPr>
        <w:t>Gregory Lee Johnson was part of a political demonstration known a</w:t>
      </w:r>
      <w:r>
        <w:rPr>
          <w:rFonts w:ascii="Times New Roman" w:hAnsi="Times New Roman"/>
          <w:sz w:val="24"/>
          <w:szCs w:val="24"/>
        </w:rPr>
        <w:t>s</w:t>
      </w:r>
      <w:r w:rsidRPr="00ED74F7">
        <w:rPr>
          <w:rFonts w:ascii="Times New Roman" w:hAnsi="Times New Roman"/>
          <w:sz w:val="24"/>
          <w:szCs w:val="24"/>
        </w:rPr>
        <w:t xml:space="preserve"> “the Republican War Chest Tour” while the Republican National Convention was taking place in Dallas, Texas.</w:t>
      </w:r>
      <w:r>
        <w:rPr>
          <w:rFonts w:ascii="Times New Roman" w:hAnsi="Times New Roman"/>
          <w:sz w:val="24"/>
          <w:szCs w:val="24"/>
        </w:rPr>
        <w:t xml:space="preserve"> </w:t>
      </w:r>
      <w:r w:rsidRPr="00ED74F7">
        <w:rPr>
          <w:rFonts w:ascii="Times New Roman" w:hAnsi="Times New Roman"/>
          <w:sz w:val="24"/>
          <w:szCs w:val="24"/>
        </w:rPr>
        <w:t>Members of the demonstration vandalized and destroyed property, but Johnson did not participate in these activities.</w:t>
      </w:r>
      <w:r>
        <w:rPr>
          <w:rFonts w:ascii="Times New Roman" w:hAnsi="Times New Roman"/>
          <w:sz w:val="24"/>
          <w:szCs w:val="24"/>
        </w:rPr>
        <w:t xml:space="preserve"> </w:t>
      </w:r>
      <w:r w:rsidRPr="00ED74F7">
        <w:rPr>
          <w:rFonts w:ascii="Times New Roman" w:hAnsi="Times New Roman"/>
          <w:sz w:val="24"/>
          <w:szCs w:val="24"/>
        </w:rPr>
        <w:t>In front of Dallas City Hall, Johnson took an American flag, doused it in kerosene and set it one fire while the crowd chanted “America, the red, white and blue, we spit on you.”</w:t>
      </w:r>
    </w:p>
    <w:p w14:paraId="7BB6FCF0"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Is the burning of an American flag protected under the First Amendment to the United States Constitution?</w:t>
      </w:r>
    </w:p>
    <w:p w14:paraId="361285A3"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The burning of an American flag is expressive conduct protected under the First Amendment.</w:t>
      </w:r>
      <w:r>
        <w:rPr>
          <w:rFonts w:ascii="Times New Roman" w:hAnsi="Times New Roman"/>
          <w:sz w:val="24"/>
          <w:szCs w:val="24"/>
        </w:rPr>
        <w:t xml:space="preserve"> </w:t>
      </w:r>
    </w:p>
    <w:p w14:paraId="7F9DA131"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Burning an American flag is a form of symbolic speech protected under the First Amendment.</w:t>
      </w:r>
      <w:r>
        <w:rPr>
          <w:rFonts w:ascii="Times New Roman" w:hAnsi="Times New Roman"/>
          <w:sz w:val="24"/>
          <w:szCs w:val="24"/>
        </w:rPr>
        <w:t xml:space="preserve"> </w:t>
      </w:r>
      <w:r w:rsidRPr="00ED74F7">
        <w:rPr>
          <w:rFonts w:ascii="Times New Roman" w:hAnsi="Times New Roman"/>
          <w:sz w:val="24"/>
          <w:szCs w:val="24"/>
        </w:rPr>
        <w:t>Texas’ interests in preserving the peace and safeguarding the flag do not justify the restriction of Johnson’s constitutional rights.</w:t>
      </w:r>
      <w:r>
        <w:rPr>
          <w:rFonts w:ascii="Times New Roman" w:hAnsi="Times New Roman"/>
          <w:sz w:val="24"/>
          <w:szCs w:val="24"/>
        </w:rPr>
        <w:t xml:space="preserve"> </w:t>
      </w:r>
      <w:r w:rsidRPr="00ED74F7">
        <w:rPr>
          <w:rFonts w:ascii="Times New Roman" w:hAnsi="Times New Roman"/>
          <w:sz w:val="24"/>
          <w:szCs w:val="24"/>
        </w:rPr>
        <w:t>The Court emphasized that “the government may not prohibit the expression of an idea simply because society finds the idea itself offensive or disagreeable.”</w:t>
      </w:r>
    </w:p>
    <w:p w14:paraId="5D3DD2FB"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 xml:space="preserve">Dissent (Justice Stevens): </w:t>
      </w:r>
      <w:r w:rsidRPr="00ED74F7">
        <w:rPr>
          <w:rFonts w:ascii="Times New Roman" w:hAnsi="Times New Roman"/>
          <w:sz w:val="24"/>
          <w:szCs w:val="24"/>
        </w:rPr>
        <w:t>The burning of an American flag differs from other forms of symbolic speech and should be evaluated differently.</w:t>
      </w:r>
      <w:r>
        <w:rPr>
          <w:rFonts w:ascii="Times New Roman" w:hAnsi="Times New Roman"/>
          <w:sz w:val="24"/>
          <w:szCs w:val="24"/>
        </w:rPr>
        <w:t xml:space="preserve"> </w:t>
      </w:r>
      <w:r w:rsidRPr="00ED74F7">
        <w:rPr>
          <w:rFonts w:ascii="Times New Roman" w:hAnsi="Times New Roman"/>
          <w:sz w:val="24"/>
          <w:szCs w:val="24"/>
        </w:rPr>
        <w:t>The flag’s value is immeasurable, and its public desecration would significantly tarnish that value.</w:t>
      </w:r>
    </w:p>
    <w:p w14:paraId="27D3BC87"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2.3</w:t>
      </w:r>
    </w:p>
    <w:p w14:paraId="00F45C9E"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Baze v. Rees</w:t>
      </w:r>
    </w:p>
    <w:p w14:paraId="3991B725"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553 U.S. 35 (2008)</w:t>
      </w:r>
    </w:p>
    <w:p w14:paraId="262BE48E" w14:textId="77777777" w:rsidR="00EF1E8B" w:rsidRPr="00ED74F7" w:rsidRDefault="00EF1E8B" w:rsidP="00EF1E8B">
      <w:pPr>
        <w:jc w:val="center"/>
        <w:rPr>
          <w:rFonts w:ascii="Times New Roman" w:hAnsi="Times New Roman"/>
          <w:sz w:val="24"/>
          <w:szCs w:val="24"/>
        </w:rPr>
      </w:pPr>
    </w:p>
    <w:p w14:paraId="7CEBDFEB"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Death row inmates brought a declaratory judgment against the Commissioner of the Kentucky Department of Corrections</w:t>
      </w:r>
      <w:r w:rsidRPr="00ED74F7">
        <w:rPr>
          <w:rFonts w:ascii="Times New Roman" w:hAnsi="Times New Roman"/>
          <w:b/>
          <w:sz w:val="24"/>
          <w:szCs w:val="24"/>
        </w:rPr>
        <w:t>.</w:t>
      </w:r>
      <w:r>
        <w:rPr>
          <w:rFonts w:ascii="Times New Roman" w:hAnsi="Times New Roman"/>
          <w:b/>
          <w:sz w:val="24"/>
          <w:szCs w:val="24"/>
        </w:rPr>
        <w:t xml:space="preserve"> </w:t>
      </w:r>
      <w:r w:rsidRPr="00ED74F7">
        <w:rPr>
          <w:rFonts w:ascii="Times New Roman" w:hAnsi="Times New Roman"/>
          <w:sz w:val="24"/>
          <w:szCs w:val="24"/>
        </w:rPr>
        <w:t>The Franklin Circuit Court denied relief and the Supreme Court of Kentucky affirmed.</w:t>
      </w:r>
      <w:r>
        <w:rPr>
          <w:rFonts w:ascii="Times New Roman" w:hAnsi="Times New Roman"/>
          <w:sz w:val="24"/>
          <w:szCs w:val="24"/>
        </w:rPr>
        <w:t xml:space="preserve"> </w:t>
      </w:r>
      <w:r w:rsidRPr="00ED74F7">
        <w:rPr>
          <w:rFonts w:ascii="Times New Roman" w:hAnsi="Times New Roman"/>
          <w:sz w:val="24"/>
          <w:szCs w:val="24"/>
        </w:rPr>
        <w:t>The Supreme Court of the United States affirmed.</w:t>
      </w:r>
      <w:r>
        <w:rPr>
          <w:rFonts w:ascii="Times New Roman" w:hAnsi="Times New Roman"/>
          <w:b/>
          <w:sz w:val="24"/>
          <w:szCs w:val="24"/>
        </w:rPr>
        <w:t xml:space="preserve"> </w:t>
      </w:r>
    </w:p>
    <w:p w14:paraId="7FFA2D62"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Death row inmates challenged the constitutionality of the three-drug method of lethal injection for executions in Kentucky.</w:t>
      </w:r>
      <w:r>
        <w:rPr>
          <w:rFonts w:ascii="Times New Roman" w:hAnsi="Times New Roman"/>
          <w:b/>
          <w:sz w:val="24"/>
          <w:szCs w:val="24"/>
        </w:rPr>
        <w:t xml:space="preserve"> </w:t>
      </w:r>
      <w:r w:rsidRPr="00ED74F7">
        <w:rPr>
          <w:rFonts w:ascii="Times New Roman" w:hAnsi="Times New Roman"/>
          <w:sz w:val="24"/>
          <w:szCs w:val="24"/>
        </w:rPr>
        <w:t>The petitioners allege that there is a risk that the protocols will not be followed correctly, resulting in significant pain for the inmate.</w:t>
      </w:r>
      <w:r>
        <w:rPr>
          <w:rFonts w:ascii="Times New Roman" w:hAnsi="Times New Roman"/>
          <w:sz w:val="24"/>
          <w:szCs w:val="24"/>
        </w:rPr>
        <w:t xml:space="preserve"> </w:t>
      </w:r>
      <w:r w:rsidRPr="00ED74F7">
        <w:rPr>
          <w:rFonts w:ascii="Times New Roman" w:hAnsi="Times New Roman"/>
          <w:sz w:val="24"/>
          <w:szCs w:val="24"/>
        </w:rPr>
        <w:t>Specifically, if the first anesthetic drug is not properly administered the second and third drugs would cause unnecessary suffering.</w:t>
      </w:r>
      <w:r>
        <w:rPr>
          <w:rFonts w:ascii="Times New Roman" w:hAnsi="Times New Roman"/>
          <w:sz w:val="24"/>
          <w:szCs w:val="24"/>
        </w:rPr>
        <w:t xml:space="preserve"> </w:t>
      </w:r>
    </w:p>
    <w:p w14:paraId="3BAC01E9"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Does the three-drug method of lethal injection violate the Eighth Amendment ban on cruel and unusual punishment?</w:t>
      </w:r>
    </w:p>
    <w:p w14:paraId="50D2247B"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No.</w:t>
      </w:r>
      <w:r>
        <w:rPr>
          <w:rFonts w:ascii="Times New Roman" w:hAnsi="Times New Roman"/>
          <w:b/>
          <w:sz w:val="24"/>
          <w:szCs w:val="24"/>
        </w:rPr>
        <w:t xml:space="preserve"> </w:t>
      </w:r>
      <w:r w:rsidRPr="00ED74F7">
        <w:rPr>
          <w:rFonts w:ascii="Times New Roman" w:hAnsi="Times New Roman"/>
          <w:sz w:val="24"/>
          <w:szCs w:val="24"/>
        </w:rPr>
        <w:t>Kentucky’s method of execution is consistent with the Eighth Amendment.</w:t>
      </w:r>
      <w:r>
        <w:rPr>
          <w:rFonts w:ascii="Times New Roman" w:hAnsi="Times New Roman"/>
          <w:sz w:val="24"/>
          <w:szCs w:val="24"/>
        </w:rPr>
        <w:t xml:space="preserve"> </w:t>
      </w:r>
    </w:p>
    <w:p w14:paraId="28CE5E8C"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A violation of the cruel and unusual punishment clause requires proof that the action is “sure or very likely to cause serious illness or needless suffering” and give rise to an “objectively intolerable risk of harm.”</w:t>
      </w:r>
      <w:r>
        <w:rPr>
          <w:rFonts w:ascii="Times New Roman" w:hAnsi="Times New Roman"/>
          <w:sz w:val="24"/>
          <w:szCs w:val="24"/>
        </w:rPr>
        <w:t xml:space="preserve"> </w:t>
      </w:r>
      <w:r w:rsidRPr="00ED74F7">
        <w:rPr>
          <w:rFonts w:ascii="Times New Roman" w:hAnsi="Times New Roman"/>
          <w:sz w:val="24"/>
          <w:szCs w:val="24"/>
        </w:rPr>
        <w:t>The possibility that lethal injection may cause pain, either accidentally or as part of the process, does not sufficiently establish an objectively intolerable risk of harm.</w:t>
      </w:r>
      <w:r>
        <w:rPr>
          <w:rFonts w:ascii="Times New Roman" w:hAnsi="Times New Roman"/>
          <w:b/>
          <w:sz w:val="24"/>
          <w:szCs w:val="24"/>
        </w:rPr>
        <w:t xml:space="preserve"> </w:t>
      </w:r>
    </w:p>
    <w:p w14:paraId="100DEEDD"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Dissent (Justices Ginsburg &amp; Souter):</w:t>
      </w:r>
      <w:r>
        <w:rPr>
          <w:rFonts w:ascii="Times New Roman" w:hAnsi="Times New Roman"/>
          <w:b/>
          <w:sz w:val="24"/>
          <w:szCs w:val="24"/>
        </w:rPr>
        <w:t xml:space="preserve"> </w:t>
      </w:r>
      <w:r w:rsidRPr="00ED74F7">
        <w:rPr>
          <w:rFonts w:ascii="Times New Roman" w:hAnsi="Times New Roman"/>
          <w:sz w:val="24"/>
          <w:szCs w:val="24"/>
        </w:rPr>
        <w:t>Kentucky’s execution protocol lacks sufficient safeguards to ensure that the defendant is unconscious before administering the lethal drugs.</w:t>
      </w:r>
      <w:r>
        <w:rPr>
          <w:rFonts w:ascii="Times New Roman" w:hAnsi="Times New Roman"/>
          <w:sz w:val="24"/>
          <w:szCs w:val="24"/>
        </w:rPr>
        <w:t xml:space="preserve"> </w:t>
      </w:r>
      <w:r w:rsidRPr="00ED74F7">
        <w:rPr>
          <w:rFonts w:ascii="Times New Roman" w:hAnsi="Times New Roman"/>
          <w:sz w:val="24"/>
          <w:szCs w:val="24"/>
        </w:rPr>
        <w:t>The case should be remanded to determine if these insufficient safeguards result in severe and unnecessary pain.</w:t>
      </w:r>
    </w:p>
    <w:p w14:paraId="01914B23"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3.2</w:t>
      </w:r>
    </w:p>
    <w:p w14:paraId="3DFC2FB1"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People of the State of New York v. Decina</w:t>
      </w:r>
    </w:p>
    <w:p w14:paraId="0EBE7910"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138 N.E. 2d 799 (N.Y. App. 1956)</w:t>
      </w:r>
    </w:p>
    <w:p w14:paraId="3C371EFF" w14:textId="77777777" w:rsidR="00EF1E8B" w:rsidRPr="00ED74F7" w:rsidRDefault="00EF1E8B" w:rsidP="00EF1E8B">
      <w:pPr>
        <w:jc w:val="center"/>
        <w:rPr>
          <w:rFonts w:ascii="Times New Roman" w:hAnsi="Times New Roman"/>
          <w:sz w:val="24"/>
          <w:szCs w:val="24"/>
        </w:rPr>
      </w:pPr>
    </w:p>
    <w:p w14:paraId="29AD01B7"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Decina was convicted of criminal negligence in operating an automobile in the Supreme Court of Erie County and appealed.</w:t>
      </w:r>
      <w:r>
        <w:rPr>
          <w:rFonts w:ascii="Times New Roman" w:hAnsi="Times New Roman"/>
          <w:sz w:val="24"/>
          <w:szCs w:val="24"/>
        </w:rPr>
        <w:t xml:space="preserve"> </w:t>
      </w:r>
      <w:r w:rsidRPr="00ED74F7">
        <w:rPr>
          <w:rFonts w:ascii="Times New Roman" w:hAnsi="Times New Roman"/>
          <w:sz w:val="24"/>
          <w:szCs w:val="24"/>
        </w:rPr>
        <w:t>The Supreme Court of New York granted a new trial and both Decina and the prosecution appealed.</w:t>
      </w:r>
      <w:r>
        <w:rPr>
          <w:rFonts w:ascii="Times New Roman" w:hAnsi="Times New Roman"/>
          <w:sz w:val="24"/>
          <w:szCs w:val="24"/>
        </w:rPr>
        <w:t xml:space="preserve"> </w:t>
      </w:r>
      <w:r w:rsidRPr="00ED74F7">
        <w:rPr>
          <w:rFonts w:ascii="Times New Roman" w:hAnsi="Times New Roman"/>
          <w:sz w:val="24"/>
          <w:szCs w:val="24"/>
        </w:rPr>
        <w:t>The Court of Appeals (New York’s highest court) affirmed.</w:t>
      </w:r>
      <w:r>
        <w:rPr>
          <w:rFonts w:ascii="Times New Roman" w:hAnsi="Times New Roman"/>
          <w:sz w:val="24"/>
          <w:szCs w:val="24"/>
        </w:rPr>
        <w:t xml:space="preserve"> </w:t>
      </w:r>
    </w:p>
    <w:p w14:paraId="6D27A497"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Decina was epileptic and suffered a seizure on March 14, 1955 while driving alone in his Buick.</w:t>
      </w:r>
      <w:r>
        <w:rPr>
          <w:rFonts w:ascii="Times New Roman" w:hAnsi="Times New Roman"/>
          <w:sz w:val="24"/>
          <w:szCs w:val="24"/>
        </w:rPr>
        <w:t xml:space="preserve"> </w:t>
      </w:r>
      <w:r w:rsidRPr="00ED74F7">
        <w:rPr>
          <w:rFonts w:ascii="Times New Roman" w:hAnsi="Times New Roman"/>
          <w:sz w:val="24"/>
          <w:szCs w:val="24"/>
        </w:rPr>
        <w:t>His car swerved several times and eventually hit six schoolgirls walking on the sidewalk.</w:t>
      </w:r>
      <w:r>
        <w:rPr>
          <w:rFonts w:ascii="Times New Roman" w:hAnsi="Times New Roman"/>
          <w:sz w:val="24"/>
          <w:szCs w:val="24"/>
        </w:rPr>
        <w:t xml:space="preserve"> </w:t>
      </w:r>
      <w:r w:rsidRPr="00ED74F7">
        <w:rPr>
          <w:rFonts w:ascii="Times New Roman" w:hAnsi="Times New Roman"/>
          <w:sz w:val="24"/>
          <w:szCs w:val="24"/>
        </w:rPr>
        <w:t>Four of the minors were killed.</w:t>
      </w:r>
      <w:r>
        <w:rPr>
          <w:rFonts w:ascii="Times New Roman" w:hAnsi="Times New Roman"/>
          <w:sz w:val="24"/>
          <w:szCs w:val="24"/>
        </w:rPr>
        <w:t xml:space="preserve"> </w:t>
      </w:r>
      <w:r w:rsidRPr="00ED74F7">
        <w:rPr>
          <w:rFonts w:ascii="Times New Roman" w:hAnsi="Times New Roman"/>
          <w:sz w:val="24"/>
          <w:szCs w:val="24"/>
        </w:rPr>
        <w:t>His car continued and crashed through the brick wall of a grocery store injuring one customer.</w:t>
      </w:r>
      <w:r>
        <w:rPr>
          <w:rFonts w:ascii="Times New Roman" w:hAnsi="Times New Roman"/>
          <w:sz w:val="24"/>
          <w:szCs w:val="24"/>
        </w:rPr>
        <w:t xml:space="preserve"> </w:t>
      </w:r>
      <w:r w:rsidRPr="00ED74F7">
        <w:rPr>
          <w:rFonts w:ascii="Times New Roman" w:hAnsi="Times New Roman"/>
          <w:sz w:val="24"/>
          <w:szCs w:val="24"/>
        </w:rPr>
        <w:t>Decina resisted arrest and attempted to flee from the scene.</w:t>
      </w:r>
      <w:r>
        <w:rPr>
          <w:rFonts w:ascii="Times New Roman" w:hAnsi="Times New Roman"/>
          <w:sz w:val="24"/>
          <w:szCs w:val="24"/>
        </w:rPr>
        <w:t xml:space="preserve"> </w:t>
      </w:r>
    </w:p>
    <w:p w14:paraId="24E23044"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Can a person who suffers from a known medical condition while driving be criminally liable?</w:t>
      </w:r>
    </w:p>
    <w:p w14:paraId="14625A7A"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Decina’s challenge to the indictment (dermurrer) is rejected.</w:t>
      </w:r>
      <w:r>
        <w:rPr>
          <w:rFonts w:ascii="Times New Roman" w:hAnsi="Times New Roman"/>
          <w:sz w:val="24"/>
          <w:szCs w:val="24"/>
        </w:rPr>
        <w:t xml:space="preserve"> </w:t>
      </w:r>
      <w:r w:rsidRPr="00ED74F7">
        <w:rPr>
          <w:rFonts w:ascii="Times New Roman" w:hAnsi="Times New Roman"/>
          <w:sz w:val="24"/>
          <w:szCs w:val="24"/>
        </w:rPr>
        <w:t>A person can be criminally responsible for crimes committed while suffering from a known medical condition.</w:t>
      </w:r>
      <w:r>
        <w:rPr>
          <w:rFonts w:ascii="Times New Roman" w:hAnsi="Times New Roman"/>
          <w:sz w:val="24"/>
          <w:szCs w:val="24"/>
        </w:rPr>
        <w:t xml:space="preserve"> </w:t>
      </w:r>
    </w:p>
    <w:p w14:paraId="1C35AF86"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Decina was aware he was subject to epileptic seizures and that an uncontrolled vehicle is dangerous on public highways.</w:t>
      </w:r>
      <w:r>
        <w:rPr>
          <w:rFonts w:ascii="Times New Roman" w:hAnsi="Times New Roman"/>
          <w:sz w:val="24"/>
          <w:szCs w:val="24"/>
        </w:rPr>
        <w:t xml:space="preserve"> </w:t>
      </w:r>
      <w:r w:rsidRPr="00ED74F7">
        <w:rPr>
          <w:rFonts w:ascii="Times New Roman" w:hAnsi="Times New Roman"/>
          <w:sz w:val="24"/>
          <w:szCs w:val="24"/>
        </w:rPr>
        <w:t>Despite this awareness, he deliberately chose to drive his car with a disregard for the potential consequences.</w:t>
      </w:r>
      <w:r>
        <w:rPr>
          <w:rFonts w:ascii="Times New Roman" w:hAnsi="Times New Roman"/>
          <w:sz w:val="24"/>
          <w:szCs w:val="24"/>
        </w:rPr>
        <w:t xml:space="preserve"> </w:t>
      </w:r>
      <w:r w:rsidRPr="00ED74F7">
        <w:rPr>
          <w:rFonts w:ascii="Times New Roman" w:hAnsi="Times New Roman"/>
          <w:sz w:val="24"/>
          <w:szCs w:val="24"/>
        </w:rPr>
        <w:t>The Court also notes that an “unexpected” medical attack without prior knowledge would be a different legal situation.</w:t>
      </w:r>
    </w:p>
    <w:p w14:paraId="529B59CE"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3.2</w:t>
      </w:r>
    </w:p>
    <w:p w14:paraId="2CD12188"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Commonwealth of Pennsylvania v. Julia Cardwell</w:t>
      </w:r>
    </w:p>
    <w:p w14:paraId="6E00353F"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515 A.2d 311 (Pa. Super. 1986)</w:t>
      </w:r>
    </w:p>
    <w:p w14:paraId="19079FBC" w14:textId="77777777" w:rsidR="00EF1E8B" w:rsidRPr="00ED74F7" w:rsidRDefault="00EF1E8B" w:rsidP="00EF1E8B">
      <w:pPr>
        <w:jc w:val="center"/>
        <w:rPr>
          <w:rFonts w:ascii="Times New Roman" w:hAnsi="Times New Roman"/>
          <w:sz w:val="24"/>
          <w:szCs w:val="24"/>
        </w:rPr>
      </w:pPr>
    </w:p>
    <w:p w14:paraId="5487ADDC"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Julia Cardwell was convicted of endangering the welfare of her child in the Court of Common Pleas, Philadelphia County.</w:t>
      </w:r>
      <w:r>
        <w:rPr>
          <w:rFonts w:ascii="Times New Roman" w:hAnsi="Times New Roman"/>
          <w:sz w:val="24"/>
          <w:szCs w:val="24"/>
        </w:rPr>
        <w:t xml:space="preserve"> </w:t>
      </w:r>
      <w:r w:rsidRPr="00ED74F7">
        <w:rPr>
          <w:rFonts w:ascii="Times New Roman" w:hAnsi="Times New Roman"/>
          <w:sz w:val="24"/>
          <w:szCs w:val="24"/>
        </w:rPr>
        <w:t>The Superior Court of Pennsylvania affirmed.</w:t>
      </w:r>
      <w:r>
        <w:rPr>
          <w:rFonts w:ascii="Times New Roman" w:hAnsi="Times New Roman"/>
          <w:sz w:val="24"/>
          <w:szCs w:val="24"/>
        </w:rPr>
        <w:t xml:space="preserve"> </w:t>
      </w:r>
    </w:p>
    <w:p w14:paraId="7425C475"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Clyde Cardwell consistently sexually abused his stepdaughter, Alicia, from 1979-1984.</w:t>
      </w:r>
      <w:r>
        <w:rPr>
          <w:rFonts w:ascii="Times New Roman" w:hAnsi="Times New Roman"/>
          <w:sz w:val="24"/>
          <w:szCs w:val="24"/>
        </w:rPr>
        <w:t xml:space="preserve"> </w:t>
      </w:r>
      <w:r w:rsidRPr="00ED74F7">
        <w:rPr>
          <w:rFonts w:ascii="Times New Roman" w:hAnsi="Times New Roman"/>
          <w:sz w:val="24"/>
          <w:szCs w:val="24"/>
        </w:rPr>
        <w:t>The abuse included sexual intercourse, which resulted in Alicia having two separate abortions.</w:t>
      </w:r>
      <w:r>
        <w:rPr>
          <w:rFonts w:ascii="Times New Roman" w:hAnsi="Times New Roman"/>
          <w:sz w:val="24"/>
          <w:szCs w:val="24"/>
        </w:rPr>
        <w:t xml:space="preserve"> </w:t>
      </w:r>
      <w:r w:rsidRPr="00ED74F7">
        <w:rPr>
          <w:rFonts w:ascii="Times New Roman" w:hAnsi="Times New Roman"/>
          <w:sz w:val="24"/>
          <w:szCs w:val="24"/>
        </w:rPr>
        <w:t>Julia Cardwell, Alicia’s mother, became aware of the abuse in 1983.</w:t>
      </w:r>
      <w:r>
        <w:rPr>
          <w:rFonts w:ascii="Times New Roman" w:hAnsi="Times New Roman"/>
          <w:sz w:val="24"/>
          <w:szCs w:val="24"/>
        </w:rPr>
        <w:t xml:space="preserve"> </w:t>
      </w:r>
      <w:r w:rsidRPr="00ED74F7">
        <w:rPr>
          <w:rFonts w:ascii="Times New Roman" w:hAnsi="Times New Roman"/>
          <w:sz w:val="24"/>
          <w:szCs w:val="24"/>
        </w:rPr>
        <w:t>While Julia wrote two letters to Clyde demanding the abuse stop, Julia never successfully prevented the mistreatment of her daughter.</w:t>
      </w:r>
      <w:r>
        <w:rPr>
          <w:rFonts w:ascii="Times New Roman" w:hAnsi="Times New Roman"/>
          <w:sz w:val="24"/>
          <w:szCs w:val="24"/>
        </w:rPr>
        <w:t xml:space="preserve"> </w:t>
      </w:r>
      <w:r w:rsidRPr="00ED74F7">
        <w:rPr>
          <w:rFonts w:ascii="Times New Roman" w:hAnsi="Times New Roman"/>
          <w:sz w:val="24"/>
          <w:szCs w:val="24"/>
        </w:rPr>
        <w:t>Alicia initiated criminal charges against her mother in 1984 for failure to prevent the sexual abuse.</w:t>
      </w:r>
      <w:r>
        <w:rPr>
          <w:rFonts w:ascii="Times New Roman" w:hAnsi="Times New Roman"/>
          <w:sz w:val="24"/>
          <w:szCs w:val="24"/>
        </w:rPr>
        <w:t xml:space="preserve"> </w:t>
      </w:r>
    </w:p>
    <w:p w14:paraId="67EEC027"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Can a parent’s failure to act satisfy the criminal intent required for endangering the welfare of a child?</w:t>
      </w:r>
    </w:p>
    <w:p w14:paraId="4D4E778D"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Failure to adequately fulfill a duty of care may constitute “knowing” endangerment of a child.</w:t>
      </w:r>
      <w:r>
        <w:rPr>
          <w:rFonts w:ascii="Times New Roman" w:hAnsi="Times New Roman"/>
          <w:sz w:val="24"/>
          <w:szCs w:val="24"/>
        </w:rPr>
        <w:t xml:space="preserve"> </w:t>
      </w:r>
      <w:r w:rsidRPr="00ED74F7">
        <w:rPr>
          <w:rFonts w:ascii="Times New Roman" w:hAnsi="Times New Roman"/>
          <w:sz w:val="24"/>
          <w:szCs w:val="24"/>
        </w:rPr>
        <w:t>The evidence is sufficient in this case to prove intent.</w:t>
      </w:r>
      <w:r>
        <w:rPr>
          <w:rFonts w:ascii="Times New Roman" w:hAnsi="Times New Roman"/>
          <w:sz w:val="24"/>
          <w:szCs w:val="24"/>
        </w:rPr>
        <w:t xml:space="preserve"> </w:t>
      </w:r>
    </w:p>
    <w:p w14:paraId="564D3ED4"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Pr>
          <w:rFonts w:ascii="Times New Roman" w:hAnsi="Times New Roman"/>
          <w:sz w:val="24"/>
          <w:szCs w:val="24"/>
        </w:rPr>
        <w:t>A parent’s duty to protect his or her</w:t>
      </w:r>
      <w:r w:rsidRPr="00ED74F7">
        <w:rPr>
          <w:rFonts w:ascii="Times New Roman" w:hAnsi="Times New Roman"/>
          <w:sz w:val="24"/>
          <w:szCs w:val="24"/>
        </w:rPr>
        <w:t xml:space="preserve"> child requires affirmative action to prevent harm.</w:t>
      </w:r>
      <w:r>
        <w:rPr>
          <w:rFonts w:ascii="Times New Roman" w:hAnsi="Times New Roman"/>
          <w:sz w:val="24"/>
          <w:szCs w:val="24"/>
        </w:rPr>
        <w:t xml:space="preserve"> </w:t>
      </w:r>
      <w:r w:rsidRPr="00ED74F7">
        <w:rPr>
          <w:rFonts w:ascii="Times New Roman" w:hAnsi="Times New Roman"/>
          <w:sz w:val="24"/>
          <w:szCs w:val="24"/>
        </w:rPr>
        <w:t>Failure to act sufficiently means the parent “knowingly endangers the welfare of the child.”</w:t>
      </w:r>
      <w:r>
        <w:rPr>
          <w:rFonts w:ascii="Times New Roman" w:hAnsi="Times New Roman"/>
          <w:sz w:val="24"/>
          <w:szCs w:val="24"/>
        </w:rPr>
        <w:t xml:space="preserve"> When a parent is aware of his or her </w:t>
      </w:r>
      <w:r w:rsidRPr="00ED74F7">
        <w:rPr>
          <w:rFonts w:ascii="Times New Roman" w:hAnsi="Times New Roman"/>
          <w:sz w:val="24"/>
          <w:szCs w:val="24"/>
        </w:rPr>
        <w:t>duty to protect, aware of the abuse, and has failed to take sufficient steps to stop it, they are guilty of child endangerment.</w:t>
      </w:r>
      <w:r>
        <w:rPr>
          <w:rFonts w:ascii="Times New Roman" w:hAnsi="Times New Roman"/>
          <w:sz w:val="24"/>
          <w:szCs w:val="24"/>
        </w:rPr>
        <w:t xml:space="preserve"> </w:t>
      </w:r>
    </w:p>
    <w:p w14:paraId="6C70265A"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Concurrence (Justice Wieand):</w:t>
      </w:r>
      <w:r>
        <w:rPr>
          <w:rFonts w:ascii="Times New Roman" w:hAnsi="Times New Roman"/>
          <w:b/>
          <w:sz w:val="24"/>
          <w:szCs w:val="24"/>
        </w:rPr>
        <w:t xml:space="preserve"> </w:t>
      </w:r>
      <w:r w:rsidRPr="00ED74F7">
        <w:rPr>
          <w:rFonts w:ascii="Times New Roman" w:hAnsi="Times New Roman"/>
          <w:sz w:val="24"/>
          <w:szCs w:val="24"/>
        </w:rPr>
        <w:t>The Court’s holding should not apply to parents who try in good faith to prevent the abuse of their children but are ultimately unsuccessful.</w:t>
      </w:r>
    </w:p>
    <w:p w14:paraId="257C34A5"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3.5</w:t>
      </w:r>
    </w:p>
    <w:p w14:paraId="28FC71CA"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 xml:space="preserve">State of Tennessee v. Charles Arnold Ballinger </w:t>
      </w:r>
    </w:p>
    <w:p w14:paraId="77A60FAC" w14:textId="77777777" w:rsidR="00EF1E8B" w:rsidRPr="00ED74F7" w:rsidRDefault="00EF1E8B" w:rsidP="00EF1E8B">
      <w:pPr>
        <w:jc w:val="center"/>
        <w:rPr>
          <w:rFonts w:ascii="Times New Roman" w:hAnsi="Times New Roman"/>
          <w:sz w:val="24"/>
          <w:szCs w:val="24"/>
          <w:lang w:val="de-DE"/>
        </w:rPr>
      </w:pPr>
      <w:r w:rsidRPr="00ED74F7">
        <w:rPr>
          <w:rFonts w:ascii="Times New Roman" w:hAnsi="Times New Roman"/>
          <w:sz w:val="24"/>
          <w:szCs w:val="24"/>
          <w:lang w:val="de-DE"/>
        </w:rPr>
        <w:t>93 S.W.3d 881 (Tenn. App. 2001)</w:t>
      </w:r>
    </w:p>
    <w:p w14:paraId="38B429A7" w14:textId="77777777" w:rsidR="00EF1E8B" w:rsidRPr="00ED74F7" w:rsidRDefault="00EF1E8B" w:rsidP="00EF1E8B">
      <w:pPr>
        <w:jc w:val="center"/>
        <w:rPr>
          <w:rFonts w:ascii="Times New Roman" w:hAnsi="Times New Roman"/>
          <w:sz w:val="24"/>
          <w:szCs w:val="24"/>
          <w:lang w:val="de-DE"/>
        </w:rPr>
      </w:pPr>
    </w:p>
    <w:p w14:paraId="72AEC25B"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Ballinger was convicted of statutory rape and contributing to the delinquency of a minor in the Criminal Court, Bradley County.</w:t>
      </w:r>
      <w:r>
        <w:rPr>
          <w:rFonts w:ascii="Times New Roman" w:hAnsi="Times New Roman"/>
          <w:sz w:val="24"/>
          <w:szCs w:val="24"/>
        </w:rPr>
        <w:t xml:space="preserve"> </w:t>
      </w:r>
      <w:r w:rsidRPr="00ED74F7">
        <w:rPr>
          <w:rFonts w:ascii="Times New Roman" w:hAnsi="Times New Roman"/>
          <w:sz w:val="24"/>
          <w:szCs w:val="24"/>
        </w:rPr>
        <w:t>The Tennessee Court of Criminal Appeals reversed and remanded for a new trial.</w:t>
      </w:r>
      <w:r>
        <w:rPr>
          <w:rFonts w:ascii="Times New Roman" w:hAnsi="Times New Roman"/>
          <w:sz w:val="24"/>
          <w:szCs w:val="24"/>
        </w:rPr>
        <w:t xml:space="preserve"> </w:t>
      </w:r>
    </w:p>
    <w:p w14:paraId="35632355"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Ballinger, a 37-year old male, allegedly had sexual intercourse with R.S., a 15-year old female, at his home.</w:t>
      </w:r>
      <w:r>
        <w:rPr>
          <w:rFonts w:ascii="Times New Roman" w:hAnsi="Times New Roman"/>
          <w:sz w:val="24"/>
          <w:szCs w:val="24"/>
        </w:rPr>
        <w:t xml:space="preserve"> </w:t>
      </w:r>
      <w:r w:rsidRPr="00ED74F7">
        <w:rPr>
          <w:rFonts w:ascii="Times New Roman" w:hAnsi="Times New Roman"/>
          <w:sz w:val="24"/>
          <w:szCs w:val="24"/>
        </w:rPr>
        <w:t>R.S. was present in the home to babysit and Ballinger provided her with beer until she became drunk and passed out.</w:t>
      </w:r>
      <w:r>
        <w:rPr>
          <w:rFonts w:ascii="Times New Roman" w:hAnsi="Times New Roman"/>
          <w:sz w:val="24"/>
          <w:szCs w:val="24"/>
        </w:rPr>
        <w:t xml:space="preserve"> </w:t>
      </w:r>
      <w:r w:rsidRPr="00ED74F7">
        <w:rPr>
          <w:rFonts w:ascii="Times New Roman" w:hAnsi="Times New Roman"/>
          <w:sz w:val="24"/>
          <w:szCs w:val="24"/>
        </w:rPr>
        <w:t>R.S. claims she objected to the sexual intercourse.</w:t>
      </w:r>
      <w:r>
        <w:rPr>
          <w:rFonts w:ascii="Times New Roman" w:hAnsi="Times New Roman"/>
          <w:sz w:val="24"/>
          <w:szCs w:val="24"/>
        </w:rPr>
        <w:t xml:space="preserve"> </w:t>
      </w:r>
      <w:r w:rsidRPr="00ED74F7">
        <w:rPr>
          <w:rFonts w:ascii="Times New Roman" w:hAnsi="Times New Roman"/>
          <w:sz w:val="24"/>
          <w:szCs w:val="24"/>
        </w:rPr>
        <w:t>Ballinger officially denies having sexual intercourse with R.S., although he did admit to the sexual encounter in a recorded telephone conversation with the victim’s mother.</w:t>
      </w:r>
      <w:r>
        <w:rPr>
          <w:rFonts w:ascii="Times New Roman" w:hAnsi="Times New Roman"/>
          <w:sz w:val="24"/>
          <w:szCs w:val="24"/>
        </w:rPr>
        <w:t xml:space="preserve"> </w:t>
      </w:r>
      <w:r w:rsidRPr="00ED74F7">
        <w:rPr>
          <w:rFonts w:ascii="Times New Roman" w:hAnsi="Times New Roman"/>
          <w:sz w:val="24"/>
          <w:szCs w:val="24"/>
        </w:rPr>
        <w:t>Ballinger also indicated that he thought R.S. was 18-years old.</w:t>
      </w:r>
      <w:r>
        <w:rPr>
          <w:rFonts w:ascii="Times New Roman" w:hAnsi="Times New Roman"/>
          <w:sz w:val="24"/>
          <w:szCs w:val="24"/>
        </w:rPr>
        <w:t xml:space="preserve"> </w:t>
      </w:r>
    </w:p>
    <w:p w14:paraId="374F3A8A"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Is mistake of fact a potential defense to statutory rape?</w:t>
      </w:r>
    </w:p>
    <w:p w14:paraId="75857E9F"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In Tennessee, statutory rape requires the mental state of recklessness.</w:t>
      </w:r>
      <w:r>
        <w:rPr>
          <w:rFonts w:ascii="Times New Roman" w:hAnsi="Times New Roman"/>
          <w:b/>
          <w:sz w:val="24"/>
          <w:szCs w:val="24"/>
        </w:rPr>
        <w:t xml:space="preserve"> </w:t>
      </w:r>
      <w:r w:rsidRPr="00ED74F7">
        <w:rPr>
          <w:rFonts w:ascii="Times New Roman" w:hAnsi="Times New Roman"/>
          <w:sz w:val="24"/>
          <w:szCs w:val="24"/>
        </w:rPr>
        <w:t>Ballinger is entitled to a jury instruction on mistake of fact, where the “mistake” could potentially negate the required mental state.</w:t>
      </w:r>
      <w:r>
        <w:rPr>
          <w:rFonts w:ascii="Times New Roman" w:hAnsi="Times New Roman"/>
          <w:sz w:val="24"/>
          <w:szCs w:val="24"/>
        </w:rPr>
        <w:t xml:space="preserve"> </w:t>
      </w:r>
    </w:p>
    <w:p w14:paraId="1D578656"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The statutory rape statute fails to specify a requisite mental state.</w:t>
      </w:r>
      <w:r>
        <w:rPr>
          <w:rFonts w:ascii="Times New Roman" w:hAnsi="Times New Roman"/>
          <w:sz w:val="24"/>
          <w:szCs w:val="24"/>
        </w:rPr>
        <w:t xml:space="preserve"> </w:t>
      </w:r>
      <w:r w:rsidRPr="00ED74F7">
        <w:rPr>
          <w:rFonts w:ascii="Times New Roman" w:hAnsi="Times New Roman"/>
          <w:sz w:val="24"/>
          <w:szCs w:val="24"/>
        </w:rPr>
        <w:t>Under Tennessee law, “when a mental state is neither specified nor ‘plainly dispensed with,’ the state must prove” that the defendant acted at least recklessly.</w:t>
      </w:r>
      <w:r>
        <w:rPr>
          <w:rFonts w:ascii="Times New Roman" w:hAnsi="Times New Roman"/>
          <w:sz w:val="24"/>
          <w:szCs w:val="24"/>
        </w:rPr>
        <w:t xml:space="preserve"> </w:t>
      </w:r>
      <w:r w:rsidRPr="00ED74F7">
        <w:rPr>
          <w:rFonts w:ascii="Times New Roman" w:hAnsi="Times New Roman"/>
          <w:sz w:val="24"/>
          <w:szCs w:val="24"/>
        </w:rPr>
        <w:t>The defense of mistake of fact can be used to negate the culpable mental state of the defendant.</w:t>
      </w:r>
      <w:r>
        <w:rPr>
          <w:rFonts w:ascii="Times New Roman" w:hAnsi="Times New Roman"/>
          <w:sz w:val="24"/>
          <w:szCs w:val="24"/>
        </w:rPr>
        <w:t xml:space="preserve"> </w:t>
      </w:r>
      <w:r w:rsidRPr="00ED74F7">
        <w:rPr>
          <w:rFonts w:ascii="Times New Roman" w:hAnsi="Times New Roman"/>
          <w:sz w:val="24"/>
          <w:szCs w:val="24"/>
        </w:rPr>
        <w:t>Accordingly, Ballinger is entitled to a jury instruction on mistake of fact on the charge of statutory rape.</w:t>
      </w:r>
    </w:p>
    <w:p w14:paraId="41C94C5C"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4.2</w:t>
      </w:r>
    </w:p>
    <w:p w14:paraId="62834B53"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State v. Chism</w:t>
      </w:r>
    </w:p>
    <w:p w14:paraId="61ED8A30"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436 So.2d 464 (La. 1983)</w:t>
      </w:r>
    </w:p>
    <w:p w14:paraId="70DB47E0" w14:textId="77777777" w:rsidR="00EF1E8B" w:rsidRPr="00ED74F7" w:rsidRDefault="00EF1E8B" w:rsidP="00EF1E8B">
      <w:pPr>
        <w:jc w:val="center"/>
        <w:rPr>
          <w:rFonts w:ascii="Times New Roman" w:hAnsi="Times New Roman"/>
          <w:sz w:val="24"/>
          <w:szCs w:val="24"/>
        </w:rPr>
      </w:pPr>
    </w:p>
    <w:p w14:paraId="2761408E"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Brian Chism was convicted of being an accessory after the fact in District Court, Caddo Parish.</w:t>
      </w:r>
      <w:r>
        <w:rPr>
          <w:rFonts w:ascii="Times New Roman" w:hAnsi="Times New Roman"/>
          <w:sz w:val="24"/>
          <w:szCs w:val="24"/>
        </w:rPr>
        <w:t xml:space="preserve"> </w:t>
      </w:r>
      <w:r w:rsidRPr="00ED74F7">
        <w:rPr>
          <w:rFonts w:ascii="Times New Roman" w:hAnsi="Times New Roman"/>
          <w:sz w:val="24"/>
          <w:szCs w:val="24"/>
        </w:rPr>
        <w:t>The Supreme Court of Louisiana affirmed the conviction but vacated the sentence and remanded.</w:t>
      </w:r>
      <w:r>
        <w:rPr>
          <w:rFonts w:ascii="Times New Roman" w:hAnsi="Times New Roman"/>
          <w:sz w:val="24"/>
          <w:szCs w:val="24"/>
        </w:rPr>
        <w:t xml:space="preserve"> </w:t>
      </w:r>
    </w:p>
    <w:p w14:paraId="58F65BE1"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Brian Chism, while dressed as a female, was in the front seat of a car with Tony Duke and his uncle, Ira Lloyd.</w:t>
      </w:r>
      <w:r>
        <w:rPr>
          <w:rFonts w:ascii="Times New Roman" w:hAnsi="Times New Roman"/>
          <w:sz w:val="24"/>
          <w:szCs w:val="24"/>
        </w:rPr>
        <w:t xml:space="preserve"> </w:t>
      </w:r>
      <w:r w:rsidRPr="00ED74F7">
        <w:rPr>
          <w:rFonts w:ascii="Times New Roman" w:hAnsi="Times New Roman"/>
          <w:sz w:val="24"/>
          <w:szCs w:val="24"/>
        </w:rPr>
        <w:t>Uncle Ira wanted his ex-wife Gloria to join them, however, a struggle ensued and Ira stabbed Gloria in the stomach and neck.</w:t>
      </w:r>
      <w:r>
        <w:rPr>
          <w:rFonts w:ascii="Times New Roman" w:hAnsi="Times New Roman"/>
          <w:sz w:val="24"/>
          <w:szCs w:val="24"/>
        </w:rPr>
        <w:t xml:space="preserve"> </w:t>
      </w:r>
      <w:r w:rsidRPr="00ED74F7">
        <w:rPr>
          <w:rFonts w:ascii="Times New Roman" w:hAnsi="Times New Roman"/>
          <w:sz w:val="24"/>
          <w:szCs w:val="24"/>
        </w:rPr>
        <w:t>Ira then proceeded to push the injured Gloria into the front seat of the car, where now all four individuals were seated.</w:t>
      </w:r>
      <w:r>
        <w:rPr>
          <w:rFonts w:ascii="Times New Roman" w:hAnsi="Times New Roman"/>
          <w:sz w:val="24"/>
          <w:szCs w:val="24"/>
        </w:rPr>
        <w:t xml:space="preserve"> </w:t>
      </w:r>
      <w:r w:rsidRPr="00ED74F7">
        <w:rPr>
          <w:rFonts w:ascii="Times New Roman" w:hAnsi="Times New Roman"/>
          <w:sz w:val="24"/>
          <w:szCs w:val="24"/>
        </w:rPr>
        <w:t>Under Ira’s instructions, they drove to a wooded area and Brian and Tony removed Gloria from the car and placed her in high grass.</w:t>
      </w:r>
      <w:r>
        <w:rPr>
          <w:rFonts w:ascii="Times New Roman" w:hAnsi="Times New Roman"/>
          <w:sz w:val="24"/>
          <w:szCs w:val="24"/>
        </w:rPr>
        <w:t xml:space="preserve"> </w:t>
      </w:r>
      <w:r w:rsidRPr="00ED74F7">
        <w:rPr>
          <w:rFonts w:ascii="Times New Roman" w:hAnsi="Times New Roman"/>
          <w:sz w:val="24"/>
          <w:szCs w:val="24"/>
        </w:rPr>
        <w:t>Ira was unable to help carry Gloria because his wooden leg had come off.</w:t>
      </w:r>
      <w:r>
        <w:rPr>
          <w:rFonts w:ascii="Times New Roman" w:hAnsi="Times New Roman"/>
          <w:sz w:val="24"/>
          <w:szCs w:val="24"/>
        </w:rPr>
        <w:t xml:space="preserve"> </w:t>
      </w:r>
      <w:r w:rsidRPr="00ED74F7">
        <w:rPr>
          <w:rFonts w:ascii="Times New Roman" w:hAnsi="Times New Roman"/>
          <w:sz w:val="24"/>
          <w:szCs w:val="24"/>
        </w:rPr>
        <w:t>Brian and Tony left the scene while Ira remained with Gloria.</w:t>
      </w:r>
      <w:r>
        <w:rPr>
          <w:rFonts w:ascii="Times New Roman" w:hAnsi="Times New Roman"/>
          <w:sz w:val="24"/>
          <w:szCs w:val="24"/>
        </w:rPr>
        <w:t xml:space="preserve"> </w:t>
      </w:r>
      <w:r w:rsidRPr="00ED74F7">
        <w:rPr>
          <w:rFonts w:ascii="Times New Roman" w:hAnsi="Times New Roman"/>
          <w:sz w:val="24"/>
          <w:szCs w:val="24"/>
        </w:rPr>
        <w:t>Brian Chism subsequently threw his blood-stained women’s clothing in a trash bin and voluntarily went to the police station to provide a statement on what occurred.</w:t>
      </w:r>
      <w:r>
        <w:rPr>
          <w:rFonts w:ascii="Times New Roman" w:hAnsi="Times New Roman"/>
          <w:sz w:val="24"/>
          <w:szCs w:val="24"/>
        </w:rPr>
        <w:t xml:space="preserve"> </w:t>
      </w:r>
    </w:p>
    <w:p w14:paraId="7E2FADD6"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Is there sufficient evidence to support the conviction of Brian Chism as an accessory after the fact?</w:t>
      </w:r>
    </w:p>
    <w:p w14:paraId="062CE88D"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“An accessory after the fact is any person, who, after the commission of a felony, shall harbor, conceal, or aid the offender, knowing or having reasonable grounds to believe that he has committed the felony, and with the intent that he may avoid or escape from arrest, trial, conviction, or punishment.”</w:t>
      </w:r>
    </w:p>
    <w:p w14:paraId="03E21BCE"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Any rational trier of fact could determine that (a) a felony was committed by Ira Lloyd before Chism became involved; (b) that Chism knew about the felony due to the bleeding victim next to him in the car; and (c) that Chism personally aided his uncle to help him escape or avoid arrest.</w:t>
      </w:r>
      <w:r>
        <w:rPr>
          <w:rFonts w:ascii="Times New Roman" w:hAnsi="Times New Roman"/>
          <w:sz w:val="24"/>
          <w:szCs w:val="24"/>
        </w:rPr>
        <w:t xml:space="preserve"> </w:t>
      </w:r>
      <w:r w:rsidRPr="00ED74F7">
        <w:rPr>
          <w:rFonts w:ascii="Times New Roman" w:hAnsi="Times New Roman"/>
          <w:sz w:val="24"/>
          <w:szCs w:val="24"/>
        </w:rPr>
        <w:t>Chism’s argument that he aided Ira out of fear for his own safety is without merit.</w:t>
      </w:r>
      <w:r>
        <w:rPr>
          <w:rFonts w:ascii="Times New Roman" w:hAnsi="Times New Roman"/>
          <w:sz w:val="24"/>
          <w:szCs w:val="24"/>
        </w:rPr>
        <w:t xml:space="preserve"> </w:t>
      </w:r>
      <w:r w:rsidRPr="00ED74F7">
        <w:rPr>
          <w:rFonts w:ascii="Times New Roman" w:hAnsi="Times New Roman"/>
          <w:sz w:val="24"/>
          <w:szCs w:val="24"/>
        </w:rPr>
        <w:t>No specific threats were made towards Chism and he had the ability to outrun his one-legged uncle if necessary.</w:t>
      </w:r>
    </w:p>
    <w:p w14:paraId="14515241"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4.4</w:t>
      </w:r>
    </w:p>
    <w:p w14:paraId="0ECD45BB"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United States v. Ionia Management</w:t>
      </w:r>
    </w:p>
    <w:p w14:paraId="73F8E0A9"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526 F.Supp.2d 319 (D. Conn. 2007)</w:t>
      </w:r>
    </w:p>
    <w:p w14:paraId="2DCFA968" w14:textId="77777777" w:rsidR="00EF1E8B" w:rsidRPr="00ED74F7" w:rsidRDefault="00EF1E8B" w:rsidP="00EF1E8B">
      <w:pPr>
        <w:jc w:val="center"/>
        <w:rPr>
          <w:rFonts w:ascii="Times New Roman" w:hAnsi="Times New Roman"/>
          <w:sz w:val="24"/>
          <w:szCs w:val="24"/>
        </w:rPr>
      </w:pPr>
    </w:p>
    <w:p w14:paraId="12A2D7EC"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Ionia Management was convicted of illegally discharging oil waste, falsifying records, obstruction of justice and conspiracy in the District Court of Connecticut.</w:t>
      </w:r>
      <w:r>
        <w:rPr>
          <w:rFonts w:ascii="Times New Roman" w:hAnsi="Times New Roman"/>
          <w:sz w:val="24"/>
          <w:szCs w:val="24"/>
        </w:rPr>
        <w:t xml:space="preserve"> </w:t>
      </w:r>
      <w:r w:rsidRPr="00ED74F7">
        <w:rPr>
          <w:rFonts w:ascii="Times New Roman" w:hAnsi="Times New Roman"/>
          <w:sz w:val="24"/>
          <w:szCs w:val="24"/>
        </w:rPr>
        <w:t>Ionia made a post-trial motion for a new trial. The District Court of Connecticut denied the motion.</w:t>
      </w:r>
      <w:r>
        <w:rPr>
          <w:rFonts w:ascii="Times New Roman" w:hAnsi="Times New Roman"/>
          <w:sz w:val="24"/>
          <w:szCs w:val="24"/>
        </w:rPr>
        <w:t xml:space="preserve"> </w:t>
      </w:r>
    </w:p>
    <w:p w14:paraId="0C4223BF"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Employees on the M/T Kriton discharged oil waste directly into the ocean without utilizing the vessel’s oil pollution prevention equipment.</w:t>
      </w:r>
      <w:r>
        <w:rPr>
          <w:rFonts w:ascii="Times New Roman" w:hAnsi="Times New Roman"/>
          <w:sz w:val="24"/>
          <w:szCs w:val="24"/>
        </w:rPr>
        <w:t xml:space="preserve"> </w:t>
      </w:r>
      <w:r w:rsidRPr="00ED74F7">
        <w:rPr>
          <w:rFonts w:ascii="Times New Roman" w:hAnsi="Times New Roman"/>
          <w:sz w:val="24"/>
          <w:szCs w:val="24"/>
        </w:rPr>
        <w:t>Members of the crew also falsified records relating to the oil discharge.</w:t>
      </w:r>
      <w:r>
        <w:rPr>
          <w:rFonts w:ascii="Times New Roman" w:hAnsi="Times New Roman"/>
          <w:sz w:val="24"/>
          <w:szCs w:val="24"/>
        </w:rPr>
        <w:t xml:space="preserve"> </w:t>
      </w:r>
    </w:p>
    <w:p w14:paraId="606213E7"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Was the evidence sufficient to hold Ionia vicariously liable for the actions of its employees and agents?</w:t>
      </w:r>
    </w:p>
    <w:p w14:paraId="2DA263A1"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A corporation can be criminally liable for the actions of its employees or agents acting within the scope of their employment.</w:t>
      </w:r>
      <w:r>
        <w:rPr>
          <w:rFonts w:ascii="Times New Roman" w:hAnsi="Times New Roman"/>
          <w:sz w:val="24"/>
          <w:szCs w:val="24"/>
        </w:rPr>
        <w:t xml:space="preserve"> </w:t>
      </w:r>
      <w:r w:rsidRPr="00ED74F7">
        <w:rPr>
          <w:rFonts w:ascii="Times New Roman" w:hAnsi="Times New Roman"/>
          <w:sz w:val="24"/>
          <w:szCs w:val="24"/>
        </w:rPr>
        <w:t>Even if the employer did not specifically authorize the criminal acts, an employee can be within the scope of their employment if they (a) acted for the benefit of the corporation, and (b) acted within his or her authority.</w:t>
      </w:r>
      <w:r>
        <w:rPr>
          <w:rFonts w:ascii="Times New Roman" w:hAnsi="Times New Roman"/>
          <w:sz w:val="24"/>
          <w:szCs w:val="24"/>
        </w:rPr>
        <w:t xml:space="preserve"> </w:t>
      </w:r>
    </w:p>
    <w:p w14:paraId="49D4E1BE"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Ionia can be criminally liable for its employees’ actions even though it had specific policies against the criminal conduct.</w:t>
      </w:r>
      <w:r>
        <w:rPr>
          <w:rFonts w:ascii="Times New Roman" w:hAnsi="Times New Roman"/>
          <w:sz w:val="24"/>
          <w:szCs w:val="24"/>
        </w:rPr>
        <w:t xml:space="preserve"> </w:t>
      </w:r>
      <w:r w:rsidRPr="00ED74F7">
        <w:rPr>
          <w:rFonts w:ascii="Times New Roman" w:hAnsi="Times New Roman"/>
          <w:sz w:val="24"/>
          <w:szCs w:val="24"/>
        </w:rPr>
        <w:t>The existence of contrary company policies is only one factor for the jury to consider when evaluating vicarious liability.</w:t>
      </w:r>
      <w:r>
        <w:rPr>
          <w:rFonts w:ascii="Times New Roman" w:hAnsi="Times New Roman"/>
          <w:sz w:val="24"/>
          <w:szCs w:val="24"/>
        </w:rPr>
        <w:t xml:space="preserve"> </w:t>
      </w:r>
      <w:r w:rsidRPr="00ED74F7">
        <w:rPr>
          <w:rFonts w:ascii="Times New Roman" w:hAnsi="Times New Roman"/>
          <w:sz w:val="24"/>
          <w:szCs w:val="24"/>
        </w:rPr>
        <w:t>In addition, vicarious liability does not require the employer to receive an actual benefit from the criminal acts.</w:t>
      </w:r>
      <w:r>
        <w:rPr>
          <w:rFonts w:ascii="Times New Roman" w:hAnsi="Times New Roman"/>
          <w:sz w:val="24"/>
          <w:szCs w:val="24"/>
        </w:rPr>
        <w:t xml:space="preserve"> </w:t>
      </w:r>
      <w:r w:rsidRPr="00ED74F7">
        <w:rPr>
          <w:rFonts w:ascii="Times New Roman" w:hAnsi="Times New Roman"/>
          <w:sz w:val="24"/>
          <w:szCs w:val="24"/>
        </w:rPr>
        <w:t>The intent of the employee to benefit the employer is enough.</w:t>
      </w:r>
      <w:r>
        <w:rPr>
          <w:rFonts w:ascii="Times New Roman" w:hAnsi="Times New Roman"/>
          <w:sz w:val="24"/>
          <w:szCs w:val="24"/>
        </w:rPr>
        <w:t xml:space="preserve"> </w:t>
      </w:r>
      <w:r w:rsidRPr="00ED74F7">
        <w:rPr>
          <w:rFonts w:ascii="Times New Roman" w:hAnsi="Times New Roman"/>
          <w:sz w:val="24"/>
          <w:szCs w:val="24"/>
        </w:rPr>
        <w:t>In regard to Ionia, a jury could have concluded that the illegal acts were done to maintain the chain of command, avoid the time and expense of using pollution prevention equipment, and to enable the ship to dock with falsified records.</w:t>
      </w:r>
    </w:p>
    <w:p w14:paraId="06E51017" w14:textId="77777777" w:rsidR="00EF1E8B" w:rsidRPr="00ED74F7" w:rsidRDefault="00EF1E8B" w:rsidP="00EF1E8B">
      <w:pPr>
        <w:jc w:val="center"/>
        <w:rPr>
          <w:rFonts w:ascii="Times New Roman" w:hAnsi="Times New Roman"/>
          <w:b/>
          <w:sz w:val="24"/>
          <w:szCs w:val="24"/>
        </w:rPr>
      </w:pPr>
      <w:r w:rsidRPr="00ED74F7">
        <w:rPr>
          <w:rFonts w:ascii="Times New Roman" w:hAnsi="Times New Roman"/>
          <w:sz w:val="24"/>
          <w:szCs w:val="24"/>
        </w:rPr>
        <w:br w:type="page"/>
      </w:r>
      <w:r w:rsidRPr="00ED74F7">
        <w:rPr>
          <w:rFonts w:ascii="Times New Roman" w:hAnsi="Times New Roman"/>
          <w:b/>
          <w:sz w:val="24"/>
          <w:szCs w:val="24"/>
        </w:rPr>
        <w:lastRenderedPageBreak/>
        <w:t>Module 5.1</w:t>
      </w:r>
    </w:p>
    <w:p w14:paraId="1CA70292" w14:textId="77777777" w:rsidR="00EF1E8B" w:rsidRPr="00ED74F7" w:rsidRDefault="00EF1E8B" w:rsidP="00EF1E8B">
      <w:pPr>
        <w:jc w:val="center"/>
        <w:rPr>
          <w:rFonts w:ascii="Times New Roman" w:hAnsi="Times New Roman"/>
          <w:b/>
          <w:i/>
          <w:sz w:val="24"/>
          <w:szCs w:val="24"/>
        </w:rPr>
      </w:pPr>
      <w:r w:rsidRPr="00ED74F7">
        <w:rPr>
          <w:rFonts w:ascii="Times New Roman" w:hAnsi="Times New Roman"/>
          <w:b/>
          <w:i/>
          <w:sz w:val="24"/>
          <w:szCs w:val="24"/>
        </w:rPr>
        <w:t>People v. Dlugash</w:t>
      </w:r>
    </w:p>
    <w:p w14:paraId="4E1A6811" w14:textId="77777777" w:rsidR="00EF1E8B" w:rsidRPr="00ED74F7" w:rsidRDefault="00EF1E8B" w:rsidP="00EF1E8B">
      <w:pPr>
        <w:jc w:val="center"/>
        <w:rPr>
          <w:rFonts w:ascii="Times New Roman" w:hAnsi="Times New Roman"/>
          <w:sz w:val="24"/>
          <w:szCs w:val="24"/>
        </w:rPr>
      </w:pPr>
      <w:r w:rsidRPr="00ED74F7">
        <w:rPr>
          <w:rFonts w:ascii="Times New Roman" w:hAnsi="Times New Roman"/>
          <w:sz w:val="24"/>
          <w:szCs w:val="24"/>
        </w:rPr>
        <w:t>363 N.E.2d 1155 (N.Y. 1977)</w:t>
      </w:r>
    </w:p>
    <w:p w14:paraId="66172386" w14:textId="77777777" w:rsidR="00EF1E8B" w:rsidRPr="00ED74F7" w:rsidRDefault="00EF1E8B" w:rsidP="00EF1E8B">
      <w:pPr>
        <w:rPr>
          <w:rFonts w:ascii="Times New Roman" w:hAnsi="Times New Roman"/>
          <w:sz w:val="24"/>
          <w:szCs w:val="24"/>
        </w:rPr>
      </w:pPr>
    </w:p>
    <w:p w14:paraId="20BAB33C"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Procedural History:</w:t>
      </w:r>
      <w:r>
        <w:rPr>
          <w:rFonts w:ascii="Times New Roman" w:hAnsi="Times New Roman"/>
          <w:b/>
          <w:sz w:val="24"/>
          <w:szCs w:val="24"/>
        </w:rPr>
        <w:t xml:space="preserve"> </w:t>
      </w:r>
      <w:r w:rsidRPr="00ED74F7">
        <w:rPr>
          <w:rFonts w:ascii="Times New Roman" w:hAnsi="Times New Roman"/>
          <w:sz w:val="24"/>
          <w:szCs w:val="24"/>
        </w:rPr>
        <w:t>Melvin Dlugash was convicted of murder in Kings County.</w:t>
      </w:r>
      <w:r>
        <w:rPr>
          <w:rFonts w:ascii="Times New Roman" w:hAnsi="Times New Roman"/>
          <w:sz w:val="24"/>
          <w:szCs w:val="24"/>
        </w:rPr>
        <w:t xml:space="preserve"> </w:t>
      </w:r>
      <w:r w:rsidRPr="00ED74F7">
        <w:rPr>
          <w:rFonts w:ascii="Times New Roman" w:hAnsi="Times New Roman"/>
          <w:sz w:val="24"/>
          <w:szCs w:val="24"/>
        </w:rPr>
        <w:t>The Supreme Court, Appellate Division, reversed and dismissed the indictment.</w:t>
      </w:r>
      <w:r>
        <w:rPr>
          <w:rFonts w:ascii="Times New Roman" w:hAnsi="Times New Roman"/>
          <w:sz w:val="24"/>
          <w:szCs w:val="24"/>
        </w:rPr>
        <w:t xml:space="preserve"> </w:t>
      </w:r>
      <w:r w:rsidRPr="00ED74F7">
        <w:rPr>
          <w:rFonts w:ascii="Times New Roman" w:hAnsi="Times New Roman"/>
          <w:sz w:val="24"/>
          <w:szCs w:val="24"/>
        </w:rPr>
        <w:t xml:space="preserve">The People appealed and the Court of Appeals of New York affirmed as modified and remitted. </w:t>
      </w:r>
    </w:p>
    <w:p w14:paraId="357AB953"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Facts:</w:t>
      </w:r>
      <w:r>
        <w:rPr>
          <w:rFonts w:ascii="Times New Roman" w:hAnsi="Times New Roman"/>
          <w:b/>
          <w:sz w:val="24"/>
          <w:szCs w:val="24"/>
        </w:rPr>
        <w:t xml:space="preserve"> </w:t>
      </w:r>
      <w:r w:rsidRPr="00ED74F7">
        <w:rPr>
          <w:rFonts w:ascii="Times New Roman" w:hAnsi="Times New Roman"/>
          <w:sz w:val="24"/>
          <w:szCs w:val="24"/>
        </w:rPr>
        <w:t>After a night of drinking, an argument ensued between three men.</w:t>
      </w:r>
      <w:r>
        <w:rPr>
          <w:rFonts w:ascii="Times New Roman" w:hAnsi="Times New Roman"/>
          <w:sz w:val="24"/>
          <w:szCs w:val="24"/>
        </w:rPr>
        <w:t xml:space="preserve"> </w:t>
      </w:r>
      <w:r w:rsidRPr="00ED74F7">
        <w:rPr>
          <w:rFonts w:ascii="Times New Roman" w:hAnsi="Times New Roman"/>
          <w:sz w:val="24"/>
          <w:szCs w:val="24"/>
        </w:rPr>
        <w:t>Bush fired three shots into Michael Geller’s heart.</w:t>
      </w:r>
      <w:r>
        <w:rPr>
          <w:rFonts w:ascii="Times New Roman" w:hAnsi="Times New Roman"/>
          <w:sz w:val="24"/>
          <w:szCs w:val="24"/>
        </w:rPr>
        <w:t xml:space="preserve"> </w:t>
      </w:r>
      <w:r w:rsidRPr="00ED74F7">
        <w:rPr>
          <w:rFonts w:ascii="Times New Roman" w:hAnsi="Times New Roman"/>
          <w:sz w:val="24"/>
          <w:szCs w:val="24"/>
        </w:rPr>
        <w:t>Approximately two to five minutes later, Defendant Melvin Dlugash fired five shots into Geller’s head.</w:t>
      </w:r>
      <w:r>
        <w:rPr>
          <w:rFonts w:ascii="Times New Roman" w:hAnsi="Times New Roman"/>
          <w:sz w:val="24"/>
          <w:szCs w:val="24"/>
        </w:rPr>
        <w:t xml:space="preserve"> </w:t>
      </w:r>
      <w:r w:rsidRPr="00ED74F7">
        <w:rPr>
          <w:rFonts w:ascii="Times New Roman" w:hAnsi="Times New Roman"/>
          <w:sz w:val="24"/>
          <w:szCs w:val="24"/>
        </w:rPr>
        <w:t xml:space="preserve">It is uncertain whether </w:t>
      </w:r>
      <w:r>
        <w:rPr>
          <w:rFonts w:ascii="Times New Roman" w:hAnsi="Times New Roman"/>
          <w:sz w:val="24"/>
          <w:szCs w:val="24"/>
        </w:rPr>
        <w:t xml:space="preserve">or not </w:t>
      </w:r>
      <w:r w:rsidRPr="00ED74F7">
        <w:rPr>
          <w:rFonts w:ascii="Times New Roman" w:hAnsi="Times New Roman"/>
          <w:sz w:val="24"/>
          <w:szCs w:val="24"/>
        </w:rPr>
        <w:t>Geller was still alive when Dlugash fired the shots.</w:t>
      </w:r>
      <w:r>
        <w:rPr>
          <w:rFonts w:ascii="Times New Roman" w:hAnsi="Times New Roman"/>
          <w:sz w:val="24"/>
          <w:szCs w:val="24"/>
        </w:rPr>
        <w:t xml:space="preserve"> </w:t>
      </w:r>
    </w:p>
    <w:p w14:paraId="4024654B" w14:textId="77777777" w:rsidR="00EF1E8B" w:rsidRPr="00ED74F7" w:rsidRDefault="00EF1E8B" w:rsidP="00EF1E8B">
      <w:pPr>
        <w:spacing w:before="100" w:beforeAutospacing="1" w:after="100" w:afterAutospacing="1"/>
        <w:rPr>
          <w:rFonts w:ascii="Times New Roman" w:hAnsi="Times New Roman"/>
          <w:b/>
          <w:sz w:val="24"/>
          <w:szCs w:val="24"/>
        </w:rPr>
      </w:pPr>
      <w:r w:rsidRPr="00ED74F7">
        <w:rPr>
          <w:rFonts w:ascii="Times New Roman" w:hAnsi="Times New Roman"/>
          <w:b/>
          <w:sz w:val="24"/>
          <w:szCs w:val="24"/>
        </w:rPr>
        <w:t>Issue:</w:t>
      </w:r>
      <w:r>
        <w:rPr>
          <w:rFonts w:ascii="Times New Roman" w:hAnsi="Times New Roman"/>
          <w:b/>
          <w:sz w:val="24"/>
          <w:szCs w:val="24"/>
        </w:rPr>
        <w:t xml:space="preserve"> </w:t>
      </w:r>
      <w:r w:rsidRPr="00ED74F7">
        <w:rPr>
          <w:rFonts w:ascii="Times New Roman" w:hAnsi="Times New Roman"/>
          <w:sz w:val="24"/>
          <w:szCs w:val="24"/>
        </w:rPr>
        <w:t>Can a defendant be charged with attempted murder when the victim was already dead?</w:t>
      </w:r>
    </w:p>
    <w:p w14:paraId="4F4EB44E" w14:textId="77777777" w:rsidR="00EF1E8B" w:rsidRPr="00ED74F7" w:rsidRDefault="00EF1E8B" w:rsidP="00EF1E8B">
      <w:pPr>
        <w:spacing w:before="100" w:beforeAutospacing="1" w:after="100" w:afterAutospacing="1"/>
        <w:rPr>
          <w:rFonts w:ascii="Times New Roman" w:hAnsi="Times New Roman"/>
          <w:sz w:val="24"/>
          <w:szCs w:val="24"/>
        </w:rPr>
      </w:pPr>
      <w:r w:rsidRPr="00ED74F7">
        <w:rPr>
          <w:rFonts w:ascii="Times New Roman" w:hAnsi="Times New Roman"/>
          <w:b/>
          <w:sz w:val="24"/>
          <w:szCs w:val="24"/>
        </w:rPr>
        <w:t>Holding:</w:t>
      </w:r>
      <w:r>
        <w:rPr>
          <w:rFonts w:ascii="Times New Roman" w:hAnsi="Times New Roman"/>
          <w:b/>
          <w:sz w:val="24"/>
          <w:szCs w:val="24"/>
        </w:rPr>
        <w:t xml:space="preserve"> </w:t>
      </w:r>
      <w:r w:rsidRPr="00ED74F7">
        <w:rPr>
          <w:rFonts w:ascii="Times New Roman" w:hAnsi="Times New Roman"/>
          <w:sz w:val="24"/>
          <w:szCs w:val="24"/>
        </w:rPr>
        <w:t>Yes.</w:t>
      </w:r>
      <w:r>
        <w:rPr>
          <w:rFonts w:ascii="Times New Roman" w:hAnsi="Times New Roman"/>
          <w:sz w:val="24"/>
          <w:szCs w:val="24"/>
        </w:rPr>
        <w:t xml:space="preserve"> </w:t>
      </w:r>
      <w:r w:rsidRPr="00ED74F7">
        <w:rPr>
          <w:rFonts w:ascii="Times New Roman" w:hAnsi="Times New Roman"/>
          <w:sz w:val="24"/>
          <w:szCs w:val="24"/>
        </w:rPr>
        <w:t>Factual impossibility is not a defense to the charge of attempted murder.</w:t>
      </w:r>
      <w:r>
        <w:rPr>
          <w:rFonts w:ascii="Times New Roman" w:hAnsi="Times New Roman"/>
          <w:b/>
          <w:sz w:val="24"/>
          <w:szCs w:val="24"/>
        </w:rPr>
        <w:t xml:space="preserve"> </w:t>
      </w:r>
      <w:r w:rsidRPr="00ED74F7">
        <w:rPr>
          <w:rFonts w:ascii="Times New Roman" w:hAnsi="Times New Roman"/>
          <w:sz w:val="24"/>
          <w:szCs w:val="24"/>
        </w:rPr>
        <w:t>Dlugash may be charged with attempted murder even though the victim may have already been dead by the hands of another when Dlugash fired the shots.</w:t>
      </w:r>
      <w:r>
        <w:rPr>
          <w:rFonts w:ascii="Times New Roman" w:hAnsi="Times New Roman"/>
          <w:b/>
          <w:sz w:val="24"/>
          <w:szCs w:val="24"/>
        </w:rPr>
        <w:t xml:space="preserve"> </w:t>
      </w:r>
    </w:p>
    <w:p w14:paraId="1967E7CF" w14:textId="77777777" w:rsidR="00EF1E8B" w:rsidRPr="00ED74F7" w:rsidRDefault="00EF1E8B" w:rsidP="00EF1E8B">
      <w:pPr>
        <w:rPr>
          <w:rFonts w:ascii="Times New Roman" w:hAnsi="Times New Roman"/>
          <w:sz w:val="24"/>
          <w:szCs w:val="24"/>
        </w:rPr>
      </w:pPr>
      <w:r w:rsidRPr="00ED74F7">
        <w:rPr>
          <w:rFonts w:ascii="Times New Roman" w:hAnsi="Times New Roman"/>
          <w:b/>
          <w:sz w:val="24"/>
          <w:szCs w:val="24"/>
        </w:rPr>
        <w:t>Reasoning:</w:t>
      </w:r>
      <w:r>
        <w:rPr>
          <w:rFonts w:ascii="Times New Roman" w:hAnsi="Times New Roman"/>
          <w:b/>
          <w:sz w:val="24"/>
          <w:szCs w:val="24"/>
        </w:rPr>
        <w:t xml:space="preserve"> </w:t>
      </w:r>
      <w:r w:rsidRPr="00ED74F7">
        <w:rPr>
          <w:rFonts w:ascii="Times New Roman" w:hAnsi="Times New Roman"/>
          <w:sz w:val="24"/>
          <w:szCs w:val="24"/>
        </w:rPr>
        <w:t>Factual impossibility is generally not a defense to the crime of attempt.</w:t>
      </w:r>
      <w:r>
        <w:rPr>
          <w:rFonts w:ascii="Times New Roman" w:hAnsi="Times New Roman"/>
          <w:sz w:val="24"/>
          <w:szCs w:val="24"/>
        </w:rPr>
        <w:t xml:space="preserve"> </w:t>
      </w:r>
      <w:r w:rsidRPr="00ED74F7">
        <w:rPr>
          <w:rFonts w:ascii="Times New Roman" w:hAnsi="Times New Roman"/>
          <w:sz w:val="24"/>
          <w:szCs w:val="24"/>
        </w:rPr>
        <w:t>Attempt occurs when a person with the intent to commit a crime engages in conduct in furtherance of that crime.</w:t>
      </w:r>
      <w:r>
        <w:rPr>
          <w:rFonts w:ascii="Times New Roman" w:hAnsi="Times New Roman"/>
          <w:sz w:val="24"/>
          <w:szCs w:val="24"/>
        </w:rPr>
        <w:t xml:space="preserve"> </w:t>
      </w:r>
      <w:r w:rsidRPr="00ED74F7">
        <w:rPr>
          <w:rFonts w:ascii="Times New Roman" w:hAnsi="Times New Roman"/>
          <w:sz w:val="24"/>
          <w:szCs w:val="24"/>
        </w:rPr>
        <w:t>If Dlugash believed that Geller was alive when he shot him in the head, it is no defense to attempted murder that Geller may have already been dead.</w:t>
      </w:r>
      <w:r>
        <w:rPr>
          <w:rFonts w:ascii="Times New Roman" w:hAnsi="Times New Roman"/>
          <w:sz w:val="24"/>
          <w:szCs w:val="24"/>
        </w:rPr>
        <w:t xml:space="preserve"> </w:t>
      </w:r>
      <w:r w:rsidRPr="00ED74F7">
        <w:rPr>
          <w:rFonts w:ascii="Times New Roman" w:hAnsi="Times New Roman"/>
          <w:sz w:val="24"/>
          <w:szCs w:val="24"/>
        </w:rPr>
        <w:t>At trial, the jury found that Dlugash believed Geller to be alive when he shot him.</w:t>
      </w:r>
      <w:r>
        <w:rPr>
          <w:rFonts w:ascii="Times New Roman" w:hAnsi="Times New Roman"/>
          <w:sz w:val="24"/>
          <w:szCs w:val="24"/>
        </w:rPr>
        <w:t xml:space="preserve"> </w:t>
      </w:r>
      <w:r w:rsidRPr="00ED74F7">
        <w:rPr>
          <w:rFonts w:ascii="Times New Roman" w:hAnsi="Times New Roman"/>
          <w:sz w:val="24"/>
          <w:szCs w:val="24"/>
        </w:rPr>
        <w:t>Accordingly, the appellate court should have found Dlugash guilty of the lesser included offense of attempted murder.</w:t>
      </w:r>
    </w:p>
    <w:p w14:paraId="7BFF3389" w14:textId="4234B103" w:rsidR="008E79BD" w:rsidRDefault="00EF1E8B" w:rsidP="00EF1E8B">
      <w:r w:rsidRPr="00ED74F7">
        <w:rPr>
          <w:rFonts w:ascii="Times New Roman" w:hAnsi="Times New Roman"/>
          <w:sz w:val="24"/>
          <w:szCs w:val="24"/>
        </w:rPr>
        <w:br w:type="page"/>
      </w:r>
    </w:p>
    <w:sectPr w:rsidR="008E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3"/>
    <w:rsid w:val="00684033"/>
    <w:rsid w:val="008E79BD"/>
    <w:rsid w:val="00EF1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1049-0812-4255-BCAF-DE5E8A92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8B"/>
    <w:pPr>
      <w:widowControl w:val="0"/>
      <w:spacing w:after="0" w:line="240" w:lineRule="auto"/>
    </w:pPr>
    <w:rPr>
      <w:rFonts w:ascii="Courier" w:eastAsia="Times New Roman" w:hAnsi="Courier"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2173</Words>
  <Characters>12387</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AYMAN</cp:lastModifiedBy>
  <cp:revision>2</cp:revision>
  <dcterms:created xsi:type="dcterms:W3CDTF">2021-09-27T16:18:00Z</dcterms:created>
  <dcterms:modified xsi:type="dcterms:W3CDTF">2021-09-27T16:18:00Z</dcterms:modified>
</cp:coreProperties>
</file>